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47" w:rsidRDefault="00B87147" w:rsidP="00B871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Tuscarawas County</w:t>
      </w:r>
    </w:p>
    <w:p w:rsidR="00DA43D8" w:rsidRDefault="00DA4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SPECIFICATIONS</w:t>
      </w:r>
      <w:r w:rsidR="00772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772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LIMESTONE</w:t>
      </w:r>
    </w:p>
    <w:p w:rsidR="00DA43D8" w:rsidRDefault="00DA4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GENERAL SPECIFICATIONS: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ab/>
        <w:t xml:space="preserve">Bid prices submitted must be good from April 1, </w:t>
      </w:r>
      <w:r w:rsidR="00804B77">
        <w:rPr>
          <w:rFonts w:ascii="Arial" w:hAnsi="Arial" w:cs="Arial"/>
        </w:rPr>
        <w:t>2022</w:t>
      </w:r>
      <w:r w:rsidR="00632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thru March 31, </w:t>
      </w:r>
      <w:r w:rsidR="00804B77">
        <w:rPr>
          <w:rFonts w:ascii="Arial" w:hAnsi="Arial" w:cs="Arial"/>
        </w:rPr>
        <w:t>2023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All materials to be bid F.O.B. Plant (Location of plant must be placed on</w:t>
      </w:r>
      <w:r w:rsidR="008D0AFC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bid sheet).</w:t>
      </w:r>
    </w:p>
    <w:p w:rsidR="006709DD" w:rsidRDefault="006709DD" w:rsidP="007722D2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In addition, we are requesting</w:t>
      </w:r>
      <w:r w:rsidR="00264F51">
        <w:rPr>
          <w:rFonts w:ascii="Arial" w:hAnsi="Arial" w:cs="Arial"/>
        </w:rPr>
        <w:t xml:space="preserve"> alternate bids for #8, #57 and #6</w:t>
      </w:r>
      <w:r w:rsidR="007722D2">
        <w:rPr>
          <w:rFonts w:ascii="Arial" w:hAnsi="Arial" w:cs="Arial"/>
        </w:rPr>
        <w:t xml:space="preserve">7 western (white) limestone, sandrock Rip Rap, along with delivered prices for all items to New Philadelphia Yard or any project location </w:t>
      </w:r>
      <w:r>
        <w:rPr>
          <w:rFonts w:ascii="Arial" w:hAnsi="Arial" w:cs="Arial"/>
        </w:rPr>
        <w:t>in the northern pa</w:t>
      </w:r>
      <w:r w:rsidR="006C166D">
        <w:rPr>
          <w:rFonts w:ascii="Arial" w:hAnsi="Arial" w:cs="Arial"/>
        </w:rPr>
        <w:t xml:space="preserve">rt of the county and to Port </w:t>
      </w:r>
      <w:r>
        <w:rPr>
          <w:rFonts w:ascii="Arial" w:hAnsi="Arial" w:cs="Arial"/>
        </w:rPr>
        <w:t xml:space="preserve">Washington </w:t>
      </w:r>
      <w:r w:rsidR="007722D2">
        <w:rPr>
          <w:rFonts w:ascii="Arial" w:hAnsi="Arial" w:cs="Arial"/>
        </w:rPr>
        <w:t xml:space="preserve">Yard </w:t>
      </w:r>
      <w:r>
        <w:rPr>
          <w:rFonts w:ascii="Arial" w:hAnsi="Arial" w:cs="Arial"/>
        </w:rPr>
        <w:t>or any</w:t>
      </w:r>
      <w:r w:rsidR="00772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project location in the southern half of the county.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Material must be available for pick up by</w:t>
      </w:r>
      <w:r w:rsidR="008D0AFC">
        <w:rPr>
          <w:rFonts w:ascii="Arial" w:hAnsi="Arial" w:cs="Arial"/>
        </w:rPr>
        <w:t xml:space="preserve"> the County on week days from </w:t>
      </w:r>
      <w:r>
        <w:rPr>
          <w:rFonts w:ascii="Arial" w:hAnsi="Arial" w:cs="Arial"/>
        </w:rPr>
        <w:t xml:space="preserve">7:00 am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through 4:00 pm without any advance notice from the County.</w:t>
      </w:r>
      <w:r w:rsidR="00B87147">
        <w:rPr>
          <w:rFonts w:ascii="Arial" w:hAnsi="Arial" w:cs="Arial"/>
        </w:rPr>
        <w:t xml:space="preserve">  Delivery to job site will </w:t>
      </w:r>
      <w:r w:rsidR="00B87147">
        <w:rPr>
          <w:rFonts w:ascii="Arial" w:hAnsi="Arial" w:cs="Arial"/>
        </w:rPr>
        <w:tab/>
      </w:r>
      <w:r w:rsidR="00B87147">
        <w:rPr>
          <w:rFonts w:ascii="Arial" w:hAnsi="Arial" w:cs="Arial"/>
        </w:rPr>
        <w:tab/>
      </w:r>
      <w:r w:rsidR="00B87147">
        <w:rPr>
          <w:rFonts w:ascii="Arial" w:hAnsi="Arial" w:cs="Arial"/>
        </w:rPr>
        <w:tab/>
        <w:t xml:space="preserve">be arranged a minimum of 24 hours in advance whenever possible. 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All material must meet the approval of t</w:t>
      </w:r>
      <w:r w:rsidR="008D0AFC">
        <w:rPr>
          <w:rFonts w:ascii="Arial" w:hAnsi="Arial" w:cs="Arial"/>
        </w:rPr>
        <w:t xml:space="preserve">he Tuscarawas County Engineer </w:t>
      </w:r>
      <w:r>
        <w:rPr>
          <w:rFonts w:ascii="Arial" w:hAnsi="Arial" w:cs="Arial"/>
        </w:rPr>
        <w:t xml:space="preserve">and/or his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authorized personnel.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 xml:space="preserve">Each separate product for the contract period shall be awarded to the bidder, which has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the lowest net price/ton for the particular project.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6.  </w:t>
      </w:r>
      <w:r>
        <w:rPr>
          <w:rFonts w:ascii="Arial" w:hAnsi="Arial" w:cs="Arial"/>
        </w:rPr>
        <w:tab/>
        <w:t>The bid shall be awarded on each item bi</w:t>
      </w:r>
      <w:r w:rsidR="008D0AFC">
        <w:rPr>
          <w:rFonts w:ascii="Arial" w:hAnsi="Arial" w:cs="Arial"/>
        </w:rPr>
        <w:t xml:space="preserve">d to the bidder which has the </w:t>
      </w:r>
      <w:r>
        <w:rPr>
          <w:rFonts w:ascii="Arial" w:hAnsi="Arial" w:cs="Arial"/>
        </w:rPr>
        <w:t xml:space="preserve">lowest net price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per ton for the current perio</w:t>
      </w:r>
      <w:r w:rsidR="008D0AFC">
        <w:rPr>
          <w:rFonts w:ascii="Arial" w:hAnsi="Arial" w:cs="Arial"/>
        </w:rPr>
        <w:t xml:space="preserve">d.  Lowest net price shall be </w:t>
      </w:r>
      <w:r>
        <w:rPr>
          <w:rFonts w:ascii="Arial" w:hAnsi="Arial" w:cs="Arial"/>
        </w:rPr>
        <w:t xml:space="preserve">ascertained by adding the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freight factor t</w:t>
      </w:r>
      <w:r w:rsidR="008D0AFC">
        <w:rPr>
          <w:rFonts w:ascii="Arial" w:hAnsi="Arial" w:cs="Arial"/>
        </w:rPr>
        <w:t xml:space="preserve">o each bidder’s price for the </w:t>
      </w:r>
      <w:r>
        <w:rPr>
          <w:rFonts w:ascii="Arial" w:hAnsi="Arial" w:cs="Arial"/>
        </w:rPr>
        <w:t xml:space="preserve">selected material.  The freight factor shall be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  <w:t xml:space="preserve">determined by multiplying a </w:t>
      </w:r>
      <w:r>
        <w:rPr>
          <w:rFonts w:ascii="Arial" w:hAnsi="Arial" w:cs="Arial"/>
        </w:rPr>
        <w:t>mileage rate of $</w:t>
      </w:r>
      <w:r w:rsidR="0039348F">
        <w:rPr>
          <w:rFonts w:ascii="Arial" w:hAnsi="Arial" w:cs="Arial"/>
        </w:rPr>
        <w:t>4.50</w:t>
      </w:r>
      <w:r>
        <w:rPr>
          <w:rFonts w:ascii="Arial" w:hAnsi="Arial" w:cs="Arial"/>
        </w:rPr>
        <w:t xml:space="preserve"> per mile (Based on 15</w:t>
      </w:r>
      <w:r w:rsidR="00B6388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ton load </w:t>
      </w:r>
      <w:r w:rsidR="008D0AFC">
        <w:rPr>
          <w:rFonts w:ascii="Arial" w:hAnsi="Arial" w:cs="Arial"/>
        </w:rPr>
        <w:t xml:space="preserve">at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  <w:t>$0.</w:t>
      </w:r>
      <w:r w:rsidR="0039348F">
        <w:rPr>
          <w:rFonts w:ascii="Arial" w:hAnsi="Arial" w:cs="Arial"/>
        </w:rPr>
        <w:t>30</w:t>
      </w:r>
      <w:r w:rsidR="008D0AFC">
        <w:rPr>
          <w:rFonts w:ascii="Arial" w:hAnsi="Arial" w:cs="Arial"/>
        </w:rPr>
        <w:t xml:space="preserve">/ton/mile) for </w:t>
      </w:r>
      <w:r>
        <w:rPr>
          <w:rFonts w:ascii="Arial" w:hAnsi="Arial" w:cs="Arial"/>
        </w:rPr>
        <w:t>the round trip road distance from the res</w:t>
      </w:r>
      <w:r w:rsidR="008D0AFC">
        <w:rPr>
          <w:rFonts w:ascii="Arial" w:hAnsi="Arial" w:cs="Arial"/>
        </w:rPr>
        <w:t xml:space="preserve">pective bidder's plant to the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project site.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7.  </w:t>
      </w:r>
      <w:r>
        <w:rPr>
          <w:rFonts w:ascii="Arial" w:hAnsi="Arial" w:cs="Arial"/>
        </w:rPr>
        <w:tab/>
        <w:t xml:space="preserve">In the event the low bidder is unable to supply, </w:t>
      </w:r>
      <w:r w:rsidR="008D0AFC">
        <w:rPr>
          <w:rFonts w:ascii="Arial" w:hAnsi="Arial" w:cs="Arial"/>
        </w:rPr>
        <w:t xml:space="preserve">at it's place of business for </w:t>
      </w:r>
      <w:r>
        <w:rPr>
          <w:rFonts w:ascii="Arial" w:hAnsi="Arial" w:cs="Arial"/>
        </w:rPr>
        <w:t xml:space="preserve">the project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site where it is the successful bidder,</w:t>
      </w:r>
      <w:r w:rsidR="008D0AFC">
        <w:rPr>
          <w:rFonts w:ascii="Arial" w:hAnsi="Arial" w:cs="Arial"/>
        </w:rPr>
        <w:t xml:space="preserve"> the quantities needed by </w:t>
      </w:r>
      <w:r>
        <w:rPr>
          <w:rFonts w:ascii="Arial" w:hAnsi="Arial" w:cs="Arial"/>
        </w:rPr>
        <w:t xml:space="preserve">the County on any given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weekday, the Co</w:t>
      </w:r>
      <w:r w:rsidR="008D0AFC">
        <w:rPr>
          <w:rFonts w:ascii="Arial" w:hAnsi="Arial" w:cs="Arial"/>
        </w:rPr>
        <w:t xml:space="preserve">unty shall have the option of </w:t>
      </w:r>
      <w:r>
        <w:rPr>
          <w:rFonts w:ascii="Arial" w:hAnsi="Arial" w:cs="Arial"/>
        </w:rPr>
        <w:t xml:space="preserve">purchasing the same material from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another supplier.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8.  </w:t>
      </w:r>
      <w:r>
        <w:rPr>
          <w:rFonts w:ascii="Arial" w:hAnsi="Arial" w:cs="Arial"/>
        </w:rPr>
        <w:tab/>
        <w:t>In the event the low bidder is unab</w:t>
      </w:r>
      <w:r w:rsidR="008D0AFC">
        <w:rPr>
          <w:rFonts w:ascii="Arial" w:hAnsi="Arial" w:cs="Arial"/>
        </w:rPr>
        <w:t xml:space="preserve">le to supply the material in </w:t>
      </w:r>
      <w:r>
        <w:rPr>
          <w:rFonts w:ascii="Arial" w:hAnsi="Arial" w:cs="Arial"/>
        </w:rPr>
        <w:t xml:space="preserve">conformance with the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County specificatio</w:t>
      </w:r>
      <w:r w:rsidR="008D0AFC">
        <w:rPr>
          <w:rFonts w:ascii="Arial" w:hAnsi="Arial" w:cs="Arial"/>
        </w:rPr>
        <w:t xml:space="preserve">ns, the County shall have the </w:t>
      </w:r>
      <w:r>
        <w:rPr>
          <w:rFonts w:ascii="Arial" w:hAnsi="Arial" w:cs="Arial"/>
        </w:rPr>
        <w:t xml:space="preserve">option of purchasing its need from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another </w:t>
      </w:r>
      <w:r w:rsidR="008D0AFC">
        <w:rPr>
          <w:rFonts w:ascii="Arial" w:hAnsi="Arial" w:cs="Arial"/>
        </w:rPr>
        <w:t xml:space="preserve">supplier until such time that </w:t>
      </w:r>
      <w:r>
        <w:rPr>
          <w:rFonts w:ascii="Arial" w:hAnsi="Arial" w:cs="Arial"/>
        </w:rPr>
        <w:t>the material does meet specifications.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43D8" w:rsidRDefault="00DA43D8" w:rsidP="007722D2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>
        <w:rPr>
          <w:rFonts w:ascii="Arial" w:hAnsi="Arial" w:cs="Arial"/>
        </w:rPr>
        <w:tab/>
        <w:t>Estimated quantities listed in the propo</w:t>
      </w:r>
      <w:r w:rsidR="008D0AFC">
        <w:rPr>
          <w:rFonts w:ascii="Arial" w:hAnsi="Arial" w:cs="Arial"/>
        </w:rPr>
        <w:t>sal are based upon</w:t>
      </w:r>
      <w:r w:rsidR="007722D2">
        <w:rPr>
          <w:rFonts w:ascii="Arial" w:hAnsi="Arial" w:cs="Arial"/>
        </w:rPr>
        <w:t xml:space="preserve"> estimated usage</w:t>
      </w:r>
      <w:r w:rsidR="008D0AFC">
        <w:rPr>
          <w:rFonts w:ascii="Arial" w:hAnsi="Arial" w:cs="Arial"/>
        </w:rPr>
        <w:t xml:space="preserve"> </w:t>
      </w:r>
      <w:r w:rsidR="00B6388B">
        <w:rPr>
          <w:rFonts w:ascii="Arial" w:hAnsi="Arial" w:cs="Arial"/>
        </w:rPr>
        <w:t xml:space="preserve">or </w:t>
      </w:r>
      <w:r w:rsidR="008D0AFC">
        <w:rPr>
          <w:rFonts w:ascii="Arial" w:hAnsi="Arial" w:cs="Arial"/>
        </w:rPr>
        <w:t xml:space="preserve">quantities </w:t>
      </w:r>
      <w:r>
        <w:rPr>
          <w:rFonts w:ascii="Arial" w:hAnsi="Arial" w:cs="Arial"/>
        </w:rPr>
        <w:t>purchased during</w:t>
      </w:r>
      <w:r w:rsidR="00772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preceding year, and is</w:t>
      </w:r>
      <w:r w:rsidR="008D0AFC">
        <w:rPr>
          <w:rFonts w:ascii="Arial" w:hAnsi="Arial" w:cs="Arial"/>
        </w:rPr>
        <w:t xml:space="preserve"> not a guarantee that similar </w:t>
      </w:r>
      <w:r>
        <w:rPr>
          <w:rFonts w:ascii="Arial" w:hAnsi="Arial" w:cs="Arial"/>
        </w:rPr>
        <w:t>quantities will be purchased.  The County R</w:t>
      </w:r>
      <w:r w:rsidR="008D0AFC">
        <w:rPr>
          <w:rFonts w:ascii="Arial" w:hAnsi="Arial" w:cs="Arial"/>
        </w:rPr>
        <w:t xml:space="preserve">eserves the right to increase </w:t>
      </w:r>
      <w:r>
        <w:rPr>
          <w:rFonts w:ascii="Arial" w:hAnsi="Arial" w:cs="Arial"/>
        </w:rPr>
        <w:t>or decrease quantity purchased based upon</w:t>
      </w:r>
      <w:r w:rsidR="007722D2">
        <w:rPr>
          <w:rFonts w:ascii="Arial" w:hAnsi="Arial" w:cs="Arial"/>
        </w:rPr>
        <w:t xml:space="preserve"> </w:t>
      </w:r>
      <w:r w:rsidR="008D0AFC">
        <w:rPr>
          <w:rFonts w:ascii="Arial" w:hAnsi="Arial" w:cs="Arial"/>
        </w:rPr>
        <w:t xml:space="preserve">actual needs without penalty </w:t>
      </w:r>
      <w:r>
        <w:rPr>
          <w:rFonts w:ascii="Arial" w:hAnsi="Arial" w:cs="Arial"/>
        </w:rPr>
        <w:t>or adjustment of unit prices bid.</w:t>
      </w:r>
    </w:p>
    <w:p w:rsidR="00DA43D8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7147" w:rsidRDefault="00DA43D8" w:rsidP="00B871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6709DD">
        <w:rPr>
          <w:rFonts w:ascii="Arial" w:hAnsi="Arial" w:cs="Arial"/>
        </w:rPr>
        <w:t>1</w:t>
      </w:r>
      <w:r w:rsidR="00E2189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  <w:t>Bids must be submitted in a sealed en</w:t>
      </w:r>
      <w:r w:rsidR="008D0AFC">
        <w:rPr>
          <w:rFonts w:ascii="Arial" w:hAnsi="Arial" w:cs="Arial"/>
        </w:rPr>
        <w:t xml:space="preserve">velope marked "LIMESTONE BID" </w:t>
      </w:r>
      <w:r>
        <w:rPr>
          <w:rFonts w:ascii="Arial" w:hAnsi="Arial" w:cs="Arial"/>
        </w:rPr>
        <w:t xml:space="preserve">to the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Tuscarawas County Commissioners Office, 125 East High Avenue</w:t>
      </w:r>
      <w:r w:rsidR="008D0A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New Philadelphia, </w:t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 w:rsidR="008D0AFC">
        <w:rPr>
          <w:rFonts w:ascii="Arial" w:hAnsi="Arial" w:cs="Arial"/>
        </w:rPr>
        <w:tab/>
      </w:r>
      <w:r>
        <w:rPr>
          <w:rFonts w:ascii="Arial" w:hAnsi="Arial" w:cs="Arial"/>
        </w:rPr>
        <w:t>Ohio 44663.  Bids m</w:t>
      </w:r>
      <w:r w:rsidR="008D0AFC">
        <w:rPr>
          <w:rFonts w:ascii="Arial" w:hAnsi="Arial" w:cs="Arial"/>
        </w:rPr>
        <w:t xml:space="preserve">ust be submitted prior to bid </w:t>
      </w:r>
      <w:r>
        <w:rPr>
          <w:rFonts w:ascii="Arial" w:hAnsi="Arial" w:cs="Arial"/>
        </w:rPr>
        <w:t>opening.</w:t>
      </w:r>
    </w:p>
    <w:p w:rsidR="00DA43D8" w:rsidRDefault="00DA43D8" w:rsidP="00B871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BID SHEET</w:t>
      </w:r>
    </w:p>
    <w:p w:rsidR="00DA43D8" w:rsidRDefault="00DA4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Tuscarawas County</w:t>
      </w:r>
    </w:p>
    <w:p w:rsidR="00DA43D8" w:rsidRDefault="00DA4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LIMESTONE</w:t>
      </w:r>
    </w:p>
    <w:p w:rsidR="00DA43D8" w:rsidRDefault="00DA4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1, </w:t>
      </w:r>
      <w:r w:rsidR="00804B77">
        <w:rPr>
          <w:rFonts w:ascii="Arial" w:hAnsi="Arial" w:cs="Arial"/>
        </w:rPr>
        <w:t>2022</w:t>
      </w:r>
      <w:r w:rsidR="00FD4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March 31, </w:t>
      </w:r>
      <w:r w:rsidR="00804B77">
        <w:rPr>
          <w:rFonts w:ascii="Arial" w:hAnsi="Arial" w:cs="Arial"/>
        </w:rPr>
        <w:t>2023</w:t>
      </w:r>
    </w:p>
    <w:p w:rsidR="008D0AFC" w:rsidRDefault="008D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64"/>
        <w:gridCol w:w="1786"/>
        <w:gridCol w:w="1980"/>
        <w:gridCol w:w="1890"/>
        <w:gridCol w:w="1890"/>
      </w:tblGrid>
      <w:tr w:rsidR="00B87147" w:rsidRPr="00950E35" w:rsidTr="00950E35">
        <w:trPr>
          <w:trHeight w:val="532"/>
        </w:trPr>
        <w:tc>
          <w:tcPr>
            <w:tcW w:w="2088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D2">
              <w:rPr>
                <w:rFonts w:ascii="Arial" w:hAnsi="Arial" w:cs="Arial"/>
                <w:b/>
                <w:sz w:val="22"/>
                <w:szCs w:val="22"/>
              </w:rPr>
              <w:t>Material Size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D2">
              <w:rPr>
                <w:rFonts w:ascii="Arial" w:hAnsi="Arial" w:cs="Arial"/>
                <w:b/>
                <w:sz w:val="22"/>
                <w:szCs w:val="22"/>
              </w:rPr>
              <w:t>Estimated Quantity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D2">
              <w:rPr>
                <w:rFonts w:ascii="Arial" w:hAnsi="Arial" w:cs="Arial"/>
                <w:b/>
                <w:sz w:val="22"/>
                <w:szCs w:val="22"/>
              </w:rPr>
              <w:t>Bid Price per Ton F.O.B. Plant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D2">
              <w:rPr>
                <w:rFonts w:ascii="Arial" w:hAnsi="Arial" w:cs="Arial"/>
                <w:b/>
                <w:sz w:val="22"/>
                <w:szCs w:val="22"/>
              </w:rPr>
              <w:t>Plant Location</w:t>
            </w: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D2">
              <w:rPr>
                <w:rFonts w:ascii="Arial" w:hAnsi="Arial" w:cs="Arial"/>
                <w:b/>
                <w:sz w:val="22"/>
                <w:szCs w:val="22"/>
              </w:rPr>
              <w:t>Delivered FOB New Phila or North Locations</w:t>
            </w: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2D2">
              <w:rPr>
                <w:rFonts w:ascii="Arial" w:hAnsi="Arial" w:cs="Arial"/>
                <w:b/>
                <w:sz w:val="22"/>
                <w:szCs w:val="22"/>
              </w:rPr>
              <w:t>Delivered FOB Port or South Locations</w:t>
            </w:r>
          </w:p>
        </w:tc>
      </w:tr>
      <w:tr w:rsidR="00B87147" w:rsidRPr="00950E35" w:rsidTr="00AC33C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1 or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7147" w:rsidRPr="007722D2" w:rsidRDefault="00A451A1" w:rsidP="00A451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87147" w:rsidRPr="007722D2">
              <w:rPr>
                <w:rFonts w:ascii="Arial" w:hAnsi="Arial" w:cs="Arial"/>
                <w:sz w:val="22"/>
                <w:szCs w:val="22"/>
              </w:rPr>
              <w:t>00 ton</w:t>
            </w:r>
          </w:p>
        </w:tc>
        <w:tc>
          <w:tcPr>
            <w:tcW w:w="1786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147" w:rsidRPr="00950E35" w:rsidTr="00AC33CA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7147" w:rsidRPr="007722D2" w:rsidRDefault="004A34A3" w:rsidP="00A451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  <w:r w:rsidR="00B87147" w:rsidRPr="007722D2">
              <w:rPr>
                <w:rFonts w:ascii="Arial" w:hAnsi="Arial" w:cs="Arial"/>
                <w:sz w:val="22"/>
                <w:szCs w:val="22"/>
              </w:rPr>
              <w:t xml:space="preserve"> ton</w:t>
            </w:r>
          </w:p>
        </w:tc>
        <w:tc>
          <w:tcPr>
            <w:tcW w:w="1786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147" w:rsidRPr="00950E35" w:rsidTr="00AC33CA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7147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  <w:r w:rsidR="00B87147" w:rsidRPr="007722D2">
              <w:rPr>
                <w:rFonts w:ascii="Arial" w:hAnsi="Arial" w:cs="Arial"/>
                <w:sz w:val="22"/>
                <w:szCs w:val="22"/>
              </w:rPr>
              <w:t>0 ton</w:t>
            </w:r>
          </w:p>
        </w:tc>
        <w:tc>
          <w:tcPr>
            <w:tcW w:w="1786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D2" w:rsidRPr="00950E35" w:rsidTr="00950E35">
        <w:trPr>
          <w:trHeight w:val="532"/>
        </w:trPr>
        <w:tc>
          <w:tcPr>
            <w:tcW w:w="2088" w:type="dxa"/>
            <w:shd w:val="clear" w:color="auto" w:fill="auto"/>
            <w:vAlign w:val="center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8 Western (white)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2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7, 0</w:t>
            </w:r>
            <w:r w:rsidR="007722D2">
              <w:rPr>
                <w:rFonts w:ascii="Arial" w:hAnsi="Arial" w:cs="Arial"/>
                <w:sz w:val="22"/>
                <w:szCs w:val="22"/>
              </w:rPr>
              <w:t>00 ton</w:t>
            </w:r>
          </w:p>
        </w:tc>
        <w:tc>
          <w:tcPr>
            <w:tcW w:w="1786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147" w:rsidRPr="00950E35" w:rsidTr="00AC33CA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57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7147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  <w:r w:rsidR="006668DA">
              <w:rPr>
                <w:rFonts w:ascii="Arial" w:hAnsi="Arial" w:cs="Arial"/>
                <w:sz w:val="22"/>
                <w:szCs w:val="22"/>
              </w:rPr>
              <w:t>0</w:t>
            </w:r>
            <w:r w:rsidR="00D2389A" w:rsidRPr="007722D2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B87147" w:rsidRPr="007722D2">
              <w:rPr>
                <w:rFonts w:ascii="Arial" w:hAnsi="Arial" w:cs="Arial"/>
                <w:sz w:val="22"/>
                <w:szCs w:val="22"/>
              </w:rPr>
              <w:t>ton</w:t>
            </w:r>
          </w:p>
        </w:tc>
        <w:tc>
          <w:tcPr>
            <w:tcW w:w="1786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87147" w:rsidRPr="007722D2" w:rsidRDefault="00B8714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D2" w:rsidRPr="00950E35" w:rsidTr="00950E35">
        <w:trPr>
          <w:trHeight w:val="575"/>
        </w:trPr>
        <w:tc>
          <w:tcPr>
            <w:tcW w:w="2088" w:type="dxa"/>
            <w:shd w:val="clear" w:color="auto" w:fill="auto"/>
            <w:vAlign w:val="center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57 Western (white)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722D2" w:rsidRPr="007722D2" w:rsidRDefault="00965A0E" w:rsidP="00965A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  <w:r w:rsidR="007722D2">
              <w:rPr>
                <w:rFonts w:ascii="Arial" w:hAnsi="Arial" w:cs="Arial"/>
                <w:sz w:val="22"/>
                <w:szCs w:val="22"/>
              </w:rPr>
              <w:t>0 ton</w:t>
            </w:r>
          </w:p>
        </w:tc>
        <w:tc>
          <w:tcPr>
            <w:tcW w:w="1786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7722D2" w:rsidRPr="007722D2" w:rsidRDefault="007722D2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C97" w:rsidRPr="00950E35" w:rsidTr="00950E35">
        <w:trPr>
          <w:trHeight w:val="575"/>
        </w:trPr>
        <w:tc>
          <w:tcPr>
            <w:tcW w:w="2088" w:type="dxa"/>
            <w:shd w:val="clear" w:color="auto" w:fill="auto"/>
            <w:vAlign w:val="center"/>
          </w:tcPr>
          <w:p w:rsidR="00875C97" w:rsidRPr="007722D2" w:rsidRDefault="00875C97" w:rsidP="00875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722D2">
              <w:rPr>
                <w:rFonts w:ascii="Arial" w:hAnsi="Arial" w:cs="Arial"/>
                <w:sz w:val="22"/>
                <w:szCs w:val="22"/>
              </w:rPr>
              <w:t>7 Western (white)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C97" w:rsidRPr="007722D2" w:rsidRDefault="00A451A1" w:rsidP="00965A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1,250</w:t>
            </w:r>
            <w:r w:rsidR="00875C97">
              <w:rPr>
                <w:rFonts w:ascii="Arial" w:hAnsi="Arial" w:cs="Arial"/>
                <w:sz w:val="22"/>
                <w:szCs w:val="22"/>
              </w:rPr>
              <w:t xml:space="preserve"> ton</w:t>
            </w:r>
          </w:p>
        </w:tc>
        <w:tc>
          <w:tcPr>
            <w:tcW w:w="1786" w:type="dxa"/>
            <w:shd w:val="clear" w:color="auto" w:fill="auto"/>
          </w:tcPr>
          <w:p w:rsidR="00875C97" w:rsidRPr="007722D2" w:rsidRDefault="00875C97" w:rsidP="005C3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75C97" w:rsidRPr="007722D2" w:rsidRDefault="00875C97" w:rsidP="005C3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5C3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5C3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C97" w:rsidRPr="00950E35" w:rsidTr="00AC33CA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304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C97" w:rsidRPr="007722D2" w:rsidRDefault="00965A0E" w:rsidP="00A451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A451A1">
              <w:rPr>
                <w:rFonts w:ascii="Arial" w:hAnsi="Arial" w:cs="Arial"/>
                <w:sz w:val="22"/>
                <w:szCs w:val="22"/>
              </w:rPr>
              <w:t>30</w:t>
            </w:r>
            <w:r w:rsidR="00875C97" w:rsidRPr="007722D2">
              <w:rPr>
                <w:rFonts w:ascii="Arial" w:hAnsi="Arial" w:cs="Arial"/>
                <w:sz w:val="22"/>
                <w:szCs w:val="22"/>
              </w:rPr>
              <w:t>0 ton</w:t>
            </w:r>
          </w:p>
        </w:tc>
        <w:tc>
          <w:tcPr>
            <w:tcW w:w="1786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C97" w:rsidRPr="00950E35" w:rsidTr="00AC33CA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411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C97" w:rsidRPr="007722D2" w:rsidRDefault="00A451A1" w:rsidP="00A451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875C97" w:rsidRPr="007722D2">
              <w:rPr>
                <w:rFonts w:ascii="Arial" w:hAnsi="Arial" w:cs="Arial"/>
                <w:sz w:val="22"/>
                <w:szCs w:val="22"/>
              </w:rPr>
              <w:t xml:space="preserve"> ton</w:t>
            </w:r>
          </w:p>
        </w:tc>
        <w:tc>
          <w:tcPr>
            <w:tcW w:w="1786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C97" w:rsidRPr="00950E35" w:rsidTr="00AC33CA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:rsidR="00965A0E" w:rsidRPr="007722D2" w:rsidRDefault="00875C97" w:rsidP="00950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No. 617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C97" w:rsidRPr="007722D2" w:rsidRDefault="00965A0E" w:rsidP="00950E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75C97" w:rsidRPr="007722D2">
              <w:rPr>
                <w:rFonts w:ascii="Arial" w:hAnsi="Arial" w:cs="Arial"/>
                <w:sz w:val="22"/>
                <w:szCs w:val="22"/>
              </w:rPr>
              <w:t>0 ton</w:t>
            </w:r>
          </w:p>
        </w:tc>
        <w:tc>
          <w:tcPr>
            <w:tcW w:w="1786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C97" w:rsidRPr="00950E35" w:rsidTr="00950E35">
        <w:trPr>
          <w:trHeight w:val="575"/>
        </w:trPr>
        <w:tc>
          <w:tcPr>
            <w:tcW w:w="2088" w:type="dxa"/>
            <w:shd w:val="clear" w:color="auto" w:fill="auto"/>
            <w:vAlign w:val="center"/>
          </w:tcPr>
          <w:p w:rsidR="00875C97" w:rsidRPr="007722D2" w:rsidRDefault="00875C97" w:rsidP="00532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Rip Rap Limestone</w:t>
            </w:r>
            <w:r>
              <w:rPr>
                <w:rFonts w:ascii="Arial" w:hAnsi="Arial" w:cs="Arial"/>
                <w:sz w:val="22"/>
                <w:szCs w:val="22"/>
              </w:rPr>
              <w:t xml:space="preserve"> Type A, B</w:t>
            </w:r>
            <w:r w:rsidR="00532022">
              <w:rPr>
                <w:rFonts w:ascii="Arial" w:hAnsi="Arial" w:cs="Arial"/>
                <w:sz w:val="22"/>
                <w:szCs w:val="22"/>
              </w:rPr>
              <w:t>, C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5320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C97" w:rsidRPr="007722D2" w:rsidRDefault="00534379" w:rsidP="00A451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  <w:r w:rsidR="00A451A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75C97">
              <w:rPr>
                <w:rFonts w:ascii="Arial" w:hAnsi="Arial" w:cs="Arial"/>
                <w:sz w:val="22"/>
                <w:szCs w:val="22"/>
              </w:rPr>
              <w:t xml:space="preserve"> tons</w:t>
            </w:r>
          </w:p>
        </w:tc>
        <w:tc>
          <w:tcPr>
            <w:tcW w:w="1786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C97" w:rsidRPr="00950E35" w:rsidTr="00950E35">
        <w:trPr>
          <w:trHeight w:val="575"/>
        </w:trPr>
        <w:tc>
          <w:tcPr>
            <w:tcW w:w="2088" w:type="dxa"/>
            <w:shd w:val="clear" w:color="auto" w:fill="auto"/>
            <w:vAlign w:val="center"/>
          </w:tcPr>
          <w:p w:rsidR="00875C97" w:rsidRPr="007722D2" w:rsidRDefault="00875C97" w:rsidP="00532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Rip Rap Sandrock</w:t>
            </w:r>
            <w:r>
              <w:rPr>
                <w:rFonts w:ascii="Arial" w:hAnsi="Arial" w:cs="Arial"/>
                <w:sz w:val="22"/>
                <w:szCs w:val="22"/>
              </w:rPr>
              <w:t xml:space="preserve"> Type A, B</w:t>
            </w:r>
            <w:r w:rsidR="00532022">
              <w:rPr>
                <w:rFonts w:ascii="Arial" w:hAnsi="Arial" w:cs="Arial"/>
                <w:sz w:val="22"/>
                <w:szCs w:val="22"/>
              </w:rPr>
              <w:t>, C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5320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C97" w:rsidRPr="007722D2" w:rsidRDefault="006668DA" w:rsidP="00875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451A1">
              <w:rPr>
                <w:rFonts w:ascii="Arial" w:hAnsi="Arial" w:cs="Arial"/>
                <w:sz w:val="22"/>
                <w:szCs w:val="22"/>
              </w:rPr>
              <w:t>,</w:t>
            </w:r>
            <w:r w:rsidR="00875C97">
              <w:rPr>
                <w:rFonts w:ascii="Arial" w:hAnsi="Arial" w:cs="Arial"/>
                <w:sz w:val="22"/>
                <w:szCs w:val="22"/>
              </w:rPr>
              <w:t>5</w:t>
            </w:r>
            <w:r w:rsidR="00A451A1">
              <w:rPr>
                <w:rFonts w:ascii="Arial" w:hAnsi="Arial" w:cs="Arial"/>
                <w:sz w:val="22"/>
                <w:szCs w:val="22"/>
              </w:rPr>
              <w:t>0</w:t>
            </w:r>
            <w:r w:rsidR="00875C97">
              <w:rPr>
                <w:rFonts w:ascii="Arial" w:hAnsi="Arial" w:cs="Arial"/>
                <w:sz w:val="22"/>
                <w:szCs w:val="22"/>
              </w:rPr>
              <w:t>0 tons</w:t>
            </w:r>
          </w:p>
        </w:tc>
        <w:tc>
          <w:tcPr>
            <w:tcW w:w="1786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75C97" w:rsidRPr="007722D2" w:rsidRDefault="00875C97" w:rsidP="0095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3CA" w:rsidRPr="00950E35" w:rsidTr="00950E35">
        <w:trPr>
          <w:trHeight w:val="575"/>
        </w:trPr>
        <w:tc>
          <w:tcPr>
            <w:tcW w:w="2088" w:type="dxa"/>
            <w:shd w:val="clear" w:color="auto" w:fill="auto"/>
            <w:vAlign w:val="center"/>
          </w:tcPr>
          <w:p w:rsidR="00AC33CA" w:rsidRPr="007722D2" w:rsidRDefault="00AC33CA" w:rsidP="00AC3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2D2">
              <w:rPr>
                <w:rFonts w:ascii="Arial" w:hAnsi="Arial" w:cs="Arial"/>
                <w:sz w:val="22"/>
                <w:szCs w:val="22"/>
              </w:rPr>
              <w:t>Sandrock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Type 0-2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33CA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451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3437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tons</w:t>
            </w:r>
          </w:p>
        </w:tc>
        <w:tc>
          <w:tcPr>
            <w:tcW w:w="1786" w:type="dxa"/>
            <w:shd w:val="clear" w:color="auto" w:fill="auto"/>
          </w:tcPr>
          <w:p w:rsidR="00AC33CA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C33CA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AC33CA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AC33CA" w:rsidRPr="007722D2" w:rsidRDefault="00AC33CA" w:rsidP="00AC3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2C14" w:rsidRDefault="00FF2C1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5304B" w:rsidRDefault="00DA43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87147">
        <w:rPr>
          <w:rFonts w:ascii="Arial" w:hAnsi="Arial" w:cs="Arial"/>
          <w:b/>
        </w:rPr>
        <w:t>Bidder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95304B" w:rsidRDefault="009530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45905" w:rsidRPr="00440202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                                                        </w:t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FBC">
        <w:rPr>
          <w:rFonts w:ascii="Arial" w:hAnsi="Arial" w:cs="Arial"/>
          <w:sz w:val="22"/>
          <w:szCs w:val="22"/>
        </w:rPr>
        <w:t xml:space="preserve">Company or Corporation </w:t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  <w:t>By</w:t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</w:rPr>
        <w:t xml:space="preserve">  </w:t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FBC">
        <w:rPr>
          <w:rFonts w:ascii="Arial" w:hAnsi="Arial" w:cs="Arial"/>
          <w:sz w:val="22"/>
          <w:szCs w:val="22"/>
        </w:rPr>
        <w:t>Company Address</w:t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  <w:t>Payment Remittance Address</w:t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</w:rPr>
        <w:t xml:space="preserve">     </w:t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</w:rPr>
        <w:t xml:space="preserve">      </w:t>
      </w:r>
    </w:p>
    <w:p w:rsidR="00C45905" w:rsidRPr="000A4FBC" w:rsidRDefault="00B6388B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</w:r>
      <w:r w:rsidR="00C45905" w:rsidRPr="000A4FBC">
        <w:rPr>
          <w:rFonts w:ascii="Arial" w:hAnsi="Arial" w:cs="Arial"/>
          <w:sz w:val="22"/>
          <w:szCs w:val="22"/>
        </w:rPr>
        <w:tab/>
        <w:t>Phone Number</w:t>
      </w: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5905" w:rsidRPr="000A4FBC" w:rsidRDefault="00C45905" w:rsidP="00C459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</w:rPr>
        <w:t xml:space="preserve"> </w:t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  <w:u w:val="single"/>
        </w:rPr>
        <w:tab/>
      </w:r>
      <w:r w:rsidRPr="000A4FB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6709DD" w:rsidRPr="00976BBD" w:rsidRDefault="00C45905" w:rsidP="00C45905">
      <w:pPr>
        <w:widowControl w:val="0"/>
        <w:autoSpaceDE w:val="0"/>
        <w:autoSpaceDN w:val="0"/>
        <w:adjustRightInd w:val="0"/>
      </w:pPr>
      <w:r w:rsidRPr="000A4FBC">
        <w:rPr>
          <w:rFonts w:ascii="Arial" w:hAnsi="Arial" w:cs="Arial"/>
          <w:sz w:val="22"/>
          <w:szCs w:val="22"/>
        </w:rPr>
        <w:t>Federal Identification Number</w:t>
      </w:r>
      <w:bookmarkStart w:id="0" w:name="_GoBack"/>
      <w:bookmarkEnd w:id="0"/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</w:r>
      <w:r w:rsidRPr="000A4FBC">
        <w:rPr>
          <w:rFonts w:ascii="Arial" w:hAnsi="Arial" w:cs="Arial"/>
          <w:sz w:val="22"/>
          <w:szCs w:val="22"/>
        </w:rPr>
        <w:tab/>
        <w:t>E-Mail Address</w:t>
      </w:r>
    </w:p>
    <w:sectPr w:rsidR="006709DD" w:rsidRPr="00976BBD" w:rsidSect="007722D2">
      <w:headerReference w:type="default" r:id="rId6"/>
      <w:footerReference w:type="default" r:id="rId7"/>
      <w:pgSz w:w="12240" w:h="15840"/>
      <w:pgMar w:top="720" w:right="720" w:bottom="72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EE" w:rsidRDefault="004A52EE">
      <w:r>
        <w:separator/>
      </w:r>
    </w:p>
  </w:endnote>
  <w:endnote w:type="continuationSeparator" w:id="0">
    <w:p w:rsidR="004A52EE" w:rsidRDefault="004A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47" w:rsidRDefault="00B8714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EE" w:rsidRDefault="004A52EE">
      <w:r>
        <w:separator/>
      </w:r>
    </w:p>
  </w:footnote>
  <w:footnote w:type="continuationSeparator" w:id="0">
    <w:p w:rsidR="004A52EE" w:rsidRDefault="004A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47" w:rsidRDefault="00B8714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D8"/>
    <w:rsid w:val="00024345"/>
    <w:rsid w:val="000A4FBC"/>
    <w:rsid w:val="000F3B98"/>
    <w:rsid w:val="00115570"/>
    <w:rsid w:val="001B6207"/>
    <w:rsid w:val="00254C13"/>
    <w:rsid w:val="00264F51"/>
    <w:rsid w:val="00284678"/>
    <w:rsid w:val="002A4436"/>
    <w:rsid w:val="003675B7"/>
    <w:rsid w:val="0039348F"/>
    <w:rsid w:val="003A22EC"/>
    <w:rsid w:val="003D1230"/>
    <w:rsid w:val="004A34A3"/>
    <w:rsid w:val="004A52EE"/>
    <w:rsid w:val="004C5420"/>
    <w:rsid w:val="004C6623"/>
    <w:rsid w:val="00520A92"/>
    <w:rsid w:val="0052477C"/>
    <w:rsid w:val="00532022"/>
    <w:rsid w:val="00534379"/>
    <w:rsid w:val="005C34F9"/>
    <w:rsid w:val="00616667"/>
    <w:rsid w:val="00632A2D"/>
    <w:rsid w:val="006668DA"/>
    <w:rsid w:val="006709DD"/>
    <w:rsid w:val="006B2F89"/>
    <w:rsid w:val="006C166D"/>
    <w:rsid w:val="00716F16"/>
    <w:rsid w:val="00726208"/>
    <w:rsid w:val="00737BC4"/>
    <w:rsid w:val="007722D2"/>
    <w:rsid w:val="007C705C"/>
    <w:rsid w:val="00804445"/>
    <w:rsid w:val="00804B77"/>
    <w:rsid w:val="008377DD"/>
    <w:rsid w:val="00852A3F"/>
    <w:rsid w:val="00875C97"/>
    <w:rsid w:val="008A36DD"/>
    <w:rsid w:val="008A3858"/>
    <w:rsid w:val="008D0AFC"/>
    <w:rsid w:val="008F1171"/>
    <w:rsid w:val="00950E35"/>
    <w:rsid w:val="0095304B"/>
    <w:rsid w:val="00965A0E"/>
    <w:rsid w:val="00976A48"/>
    <w:rsid w:val="00976BBD"/>
    <w:rsid w:val="009F2BF5"/>
    <w:rsid w:val="009F476A"/>
    <w:rsid w:val="00A111C8"/>
    <w:rsid w:val="00A451A1"/>
    <w:rsid w:val="00A54C7E"/>
    <w:rsid w:val="00AC33CA"/>
    <w:rsid w:val="00B6388B"/>
    <w:rsid w:val="00B810E7"/>
    <w:rsid w:val="00B87147"/>
    <w:rsid w:val="00BB482B"/>
    <w:rsid w:val="00C45905"/>
    <w:rsid w:val="00C630E1"/>
    <w:rsid w:val="00C8518D"/>
    <w:rsid w:val="00CD79D5"/>
    <w:rsid w:val="00D05893"/>
    <w:rsid w:val="00D2389A"/>
    <w:rsid w:val="00D56BDA"/>
    <w:rsid w:val="00D85753"/>
    <w:rsid w:val="00DA43D8"/>
    <w:rsid w:val="00E21892"/>
    <w:rsid w:val="00E3367B"/>
    <w:rsid w:val="00E4281D"/>
    <w:rsid w:val="00FD4F04"/>
    <w:rsid w:val="00FE4E8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EF302"/>
  <w15:chartTrackingRefBased/>
  <w15:docId w15:val="{3B451FF5-95D6-4FC2-B428-4DECC91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4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4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4FBC"/>
    <w:rPr>
      <w:sz w:val="24"/>
      <w:szCs w:val="24"/>
    </w:rPr>
  </w:style>
  <w:style w:type="paragraph" w:styleId="Footer">
    <w:name w:val="footer"/>
    <w:basedOn w:val="Normal"/>
    <w:link w:val="FooterChar"/>
    <w:rsid w:val="000A4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4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568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Tuscarawas County Engineer</dc:creator>
  <cp:keywords/>
  <cp:lastModifiedBy>Martha Campbell</cp:lastModifiedBy>
  <cp:revision>10</cp:revision>
  <cp:lastPrinted>2021-01-15T18:43:00Z</cp:lastPrinted>
  <dcterms:created xsi:type="dcterms:W3CDTF">2020-01-27T16:48:00Z</dcterms:created>
  <dcterms:modified xsi:type="dcterms:W3CDTF">2022-01-10T15:34:00Z</dcterms:modified>
</cp:coreProperties>
</file>